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4B1" w:rsidRDefault="009A74B1"/>
    <w:p w:rsidR="009A74B1" w:rsidRDefault="009A74B1"/>
    <w:p w:rsidR="009A74B1" w:rsidRPr="006C21F6" w:rsidRDefault="009A74B1" w:rsidP="006C21F6">
      <w:pPr>
        <w:jc w:val="center"/>
        <w:rPr>
          <w:rFonts w:ascii="ＭＳ ゴシック" w:eastAsia="ＭＳ ゴシック" w:hAnsi="ＭＳ ゴシック"/>
          <w:sz w:val="28"/>
          <w:szCs w:val="28"/>
        </w:rPr>
      </w:pPr>
      <w:r w:rsidRPr="006C21F6">
        <w:rPr>
          <w:rFonts w:ascii="ＭＳ ゴシック" w:eastAsia="ＭＳ ゴシック" w:hAnsi="ＭＳ ゴシック" w:hint="eastAsia"/>
          <w:sz w:val="28"/>
          <w:szCs w:val="28"/>
        </w:rPr>
        <w:t>年間指導計画</w:t>
      </w:r>
      <w:r w:rsidR="001F247D">
        <w:rPr>
          <w:rFonts w:ascii="ＭＳ ゴシック" w:eastAsia="ＭＳ ゴシック" w:hAnsi="ＭＳ ゴシック" w:hint="eastAsia"/>
          <w:sz w:val="28"/>
          <w:szCs w:val="28"/>
        </w:rPr>
        <w:t>作成資料</w:t>
      </w:r>
      <w:r w:rsidRPr="006C21F6">
        <w:rPr>
          <w:rFonts w:ascii="ＭＳ ゴシック" w:eastAsia="ＭＳ ゴシック" w:hAnsi="ＭＳ ゴシック" w:hint="eastAsia"/>
          <w:sz w:val="28"/>
          <w:szCs w:val="28"/>
        </w:rPr>
        <w:t>について</w:t>
      </w:r>
    </w:p>
    <w:p w:rsidR="009A74B1" w:rsidRDefault="009A74B1"/>
    <w:p w:rsidR="009A74B1" w:rsidRDefault="009A74B1" w:rsidP="006C21F6">
      <w:pPr>
        <w:ind w:leftChars="337" w:left="708" w:rightChars="404" w:right="848" w:firstLineChars="100" w:firstLine="210"/>
      </w:pPr>
      <w:r>
        <w:rPr>
          <w:rFonts w:hint="eastAsia"/>
        </w:rPr>
        <w:t>本資料は、弊社発行の道徳科教科書『中学生の道徳』の年間指導計画を作成するにあたり、参考にしていただくためのものです。</w:t>
      </w:r>
    </w:p>
    <w:p w:rsidR="009A74B1" w:rsidRDefault="009A74B1" w:rsidP="006C21F6">
      <w:pPr>
        <w:ind w:leftChars="337" w:left="708" w:rightChars="404" w:right="848" w:firstLineChars="100" w:firstLine="210"/>
      </w:pPr>
      <w:r w:rsidRPr="009A74B1">
        <w:t>生徒の発達の段階に応じ</w:t>
      </w:r>
      <w:r w:rsidR="006C21F6">
        <w:rPr>
          <w:rFonts w:hint="eastAsia"/>
        </w:rPr>
        <w:t>、</w:t>
      </w:r>
      <w:r w:rsidRPr="009A74B1">
        <w:t>各教科や他の教育活動、行事等との時期的・内容的関連を考慮して配列をして</w:t>
      </w:r>
      <w:r w:rsidR="00624F2C">
        <w:rPr>
          <w:rFonts w:hint="eastAsia"/>
        </w:rPr>
        <w:t>い</w:t>
      </w:r>
      <w:r w:rsidRPr="009A74B1">
        <w:t>ます</w:t>
      </w:r>
      <w:r>
        <w:rPr>
          <w:rFonts w:hint="eastAsia"/>
        </w:rPr>
        <w:t>。</w:t>
      </w:r>
      <w:r w:rsidRPr="009A74B1">
        <w:t>掲載順に使用いただいても全教育活動との関連を踏まえた効果的な学習ができますが、各学校の実態に応じて加工の</w:t>
      </w:r>
      <w:r w:rsidR="003731F0">
        <w:rPr>
          <w:rFonts w:hint="eastAsia"/>
        </w:rPr>
        <w:t>うえ</w:t>
      </w:r>
      <w:r w:rsidRPr="009A74B1">
        <w:t>、ご活用ください。</w:t>
      </w:r>
    </w:p>
    <w:p w:rsidR="009A74B1" w:rsidRDefault="009A74B1" w:rsidP="006C21F6">
      <w:pPr>
        <w:ind w:leftChars="337" w:left="708" w:rightChars="404" w:right="848" w:firstLineChars="100" w:firstLine="210"/>
      </w:pPr>
      <w:r w:rsidRPr="009A74B1">
        <w:t>なお、教科書の詳しい内容は、本ウェブサイトに掲載して</w:t>
      </w:r>
      <w:r w:rsidR="00624F2C">
        <w:rPr>
          <w:rFonts w:hint="eastAsia"/>
        </w:rPr>
        <w:t>います</w:t>
      </w:r>
      <w:r w:rsidRPr="009A74B1">
        <w:t>内容解説資料を</w:t>
      </w:r>
      <w:r w:rsidR="00F045F8">
        <w:rPr>
          <w:rFonts w:hint="eastAsia"/>
        </w:rPr>
        <w:t>ご</w:t>
      </w:r>
      <w:r w:rsidRPr="009A74B1">
        <w:t>参照ください</w:t>
      </w:r>
      <w:r>
        <w:rPr>
          <w:rFonts w:hint="eastAsia"/>
        </w:rPr>
        <w:t>。</w:t>
      </w:r>
    </w:p>
    <w:p w:rsidR="009A74B1" w:rsidRDefault="009A74B1" w:rsidP="009A74B1">
      <w:pPr>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200025</wp:posOffset>
                </wp:positionV>
                <wp:extent cx="5245100" cy="4514850"/>
                <wp:effectExtent l="0" t="0" r="12700" b="19050"/>
                <wp:wrapNone/>
                <wp:docPr id="371801435" name="四角形: 角を丸くする 1"/>
                <wp:cNvGraphicFramePr/>
                <a:graphic xmlns:a="http://schemas.openxmlformats.org/drawingml/2006/main">
                  <a:graphicData uri="http://schemas.microsoft.com/office/word/2010/wordprocessingShape">
                    <wps:wsp>
                      <wps:cNvSpPr/>
                      <wps:spPr>
                        <a:xfrm>
                          <a:off x="0" y="0"/>
                          <a:ext cx="5245100" cy="45148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C8A56" id="四角形: 角を丸くする 1" o:spid="_x0000_s1026" style="position:absolute;left:0;text-align:left;margin-left:7.95pt;margin-top:15.75pt;width:413pt;height:3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" filled="f" strokecolor="black [3213]" strokeweight="1pt">
                <v:stroke joinstyle="miter"/>
              </v:roundrect>
            </w:pict>
          </mc:Fallback>
        </mc:AlternateContent>
      </w:r>
    </w:p>
    <w:p w:rsidR="009A74B1" w:rsidRDefault="009A74B1" w:rsidP="009A74B1">
      <w:pPr>
        <w:ind w:firstLineChars="100" w:firstLine="210"/>
      </w:pPr>
    </w:p>
    <w:p w:rsidR="009A74B1" w:rsidRPr="006C21F6" w:rsidRDefault="009A74B1" w:rsidP="00FF5C25">
      <w:pPr>
        <w:ind w:leftChars="337" w:left="708" w:firstLineChars="100" w:firstLine="210"/>
        <w:jc w:val="left"/>
        <w:rPr>
          <w:rFonts w:ascii="ＭＳ ゴシック" w:eastAsia="ＭＳ ゴシック" w:hAnsi="ＭＳ ゴシック"/>
        </w:rPr>
      </w:pPr>
      <w:r w:rsidRPr="006C21F6">
        <w:rPr>
          <w:rFonts w:ascii="ＭＳ ゴシック" w:eastAsia="ＭＳ ゴシック" w:hAnsi="ＭＳ ゴシック" w:hint="eastAsia"/>
        </w:rPr>
        <w:t>本資料の構成</w:t>
      </w:r>
    </w:p>
    <w:p w:rsidR="009A74B1" w:rsidRDefault="009A74B1" w:rsidP="00931BAB">
      <w:pPr>
        <w:ind w:leftChars="337" w:left="708" w:rightChars="404" w:right="848" w:firstLine="1"/>
      </w:pPr>
    </w:p>
    <w:p w:rsidR="006C21F6" w:rsidRDefault="006C21F6" w:rsidP="00931BAB">
      <w:pPr>
        <w:ind w:leftChars="337" w:left="708" w:rightChars="404" w:right="848" w:firstLine="143"/>
      </w:pPr>
      <w:r>
        <w:rPr>
          <w:rFonts w:hint="eastAsia"/>
        </w:rPr>
        <w:t>・</w:t>
      </w:r>
      <w:r w:rsidRPr="006C21F6">
        <w:t>月</w:t>
      </w:r>
      <w:r w:rsidR="00F045F8">
        <w:rPr>
          <w:rFonts w:hint="eastAsia"/>
        </w:rPr>
        <w:t>、配当時数</w:t>
      </w:r>
      <w:r w:rsidRPr="00CF22B8">
        <w:rPr>
          <w:szCs w:val="21"/>
        </w:rPr>
        <w:t>………</w:t>
      </w:r>
      <w:r w:rsidRPr="006C21F6">
        <w:t>指導時期</w:t>
      </w:r>
      <w:r w:rsidR="00F045F8">
        <w:rPr>
          <w:rFonts w:hint="eastAsia"/>
        </w:rPr>
        <w:t>と配当時数</w:t>
      </w:r>
      <w:r w:rsidRPr="006C21F6">
        <w:t>を月ごとにまとめ</w:t>
      </w:r>
      <w:r>
        <w:rPr>
          <w:rFonts w:hint="eastAsia"/>
        </w:rPr>
        <w:t>て</w:t>
      </w:r>
      <w:r w:rsidRPr="006C21F6">
        <w:t>います。</w:t>
      </w:r>
    </w:p>
    <w:p w:rsidR="00116A85" w:rsidRDefault="006C21F6" w:rsidP="00931BAB">
      <w:pPr>
        <w:ind w:leftChars="337" w:left="708" w:rightChars="404" w:right="848" w:firstLine="143"/>
      </w:pPr>
      <w:r>
        <w:rPr>
          <w:rFonts w:hint="eastAsia"/>
        </w:rPr>
        <w:t>・番号、教材</w:t>
      </w:r>
      <w:r w:rsidRPr="006C21F6">
        <w:t>名</w:t>
      </w:r>
      <w:r w:rsidRPr="00CF22B8">
        <w:rPr>
          <w:szCs w:val="21"/>
        </w:rPr>
        <w:t>………</w:t>
      </w:r>
      <w:r w:rsidRPr="006C21F6">
        <w:t>教科書記載の教材番号と教材名です。</w:t>
      </w:r>
    </w:p>
    <w:p w:rsidR="006C21F6" w:rsidRPr="00116A85" w:rsidRDefault="00116A85" w:rsidP="00931BAB">
      <w:pPr>
        <w:ind w:leftChars="337" w:left="708" w:rightChars="404" w:right="848" w:firstLine="143"/>
        <w:rPr>
          <w:szCs w:val="21"/>
        </w:rPr>
      </w:pPr>
      <w:r>
        <w:rPr>
          <w:rFonts w:hint="eastAsia"/>
        </w:rPr>
        <w:t>・主題名</w:t>
      </w:r>
      <w:r w:rsidRPr="00CF22B8">
        <w:rPr>
          <w:szCs w:val="21"/>
        </w:rPr>
        <w:t>………………</w:t>
      </w:r>
      <w:r>
        <w:rPr>
          <w:rFonts w:hint="eastAsia"/>
          <w:szCs w:val="21"/>
        </w:rPr>
        <w:t>授業内容のテーマについて端的に示しています。</w:t>
      </w:r>
    </w:p>
    <w:p w:rsidR="006C21F6" w:rsidRDefault="00116A85" w:rsidP="00931BAB">
      <w:pPr>
        <w:ind w:leftChars="337" w:left="708" w:rightChars="404" w:right="848" w:firstLine="143"/>
      </w:pPr>
      <w:r>
        <w:rPr>
          <w:rFonts w:hint="eastAsia"/>
        </w:rPr>
        <w:t>・</w:t>
      </w:r>
      <w:r w:rsidR="006C21F6" w:rsidRPr="006C21F6">
        <w:t>内容項目</w:t>
      </w:r>
      <w:r w:rsidR="006C21F6" w:rsidRPr="00CF22B8">
        <w:rPr>
          <w:szCs w:val="21"/>
        </w:rPr>
        <w:t>…………</w:t>
      </w:r>
      <w:r w:rsidR="00CF22B8" w:rsidRPr="00CF22B8">
        <w:rPr>
          <w:szCs w:val="21"/>
        </w:rPr>
        <w:t>…</w:t>
      </w:r>
      <w:r w:rsidR="006C21F6" w:rsidRPr="006C21F6">
        <w:t xml:space="preserve">学習指導要領の内容項目を示しています。  </w:t>
      </w:r>
    </w:p>
    <w:p w:rsidR="006C21F6" w:rsidRDefault="00116A85" w:rsidP="00931BAB">
      <w:pPr>
        <w:ind w:leftChars="405" w:left="2834" w:rightChars="404" w:right="848" w:hanging="1984"/>
      </w:pPr>
      <w:r>
        <w:rPr>
          <w:rFonts w:hint="eastAsia"/>
        </w:rPr>
        <w:t>・</w:t>
      </w:r>
      <w:r w:rsidR="006C21F6" w:rsidRPr="006C21F6">
        <w:t>ねらい</w:t>
      </w:r>
      <w:r w:rsidR="006C21F6" w:rsidRPr="00CF22B8">
        <w:rPr>
          <w:szCs w:val="21"/>
        </w:rPr>
        <w:t>……………</w:t>
      </w:r>
      <w:r w:rsidR="00CF22B8" w:rsidRPr="00CF22B8">
        <w:rPr>
          <w:szCs w:val="21"/>
        </w:rPr>
        <w:t>…</w:t>
      </w:r>
      <w:r w:rsidR="006C21F6" w:rsidRPr="006C21F6">
        <w:t>内容項目をもとに、道徳的価値や</w:t>
      </w:r>
      <w:r w:rsidR="001C4FDB" w:rsidRPr="001C4FDB">
        <w:t>道徳性の諸様相</w:t>
      </w:r>
      <w:r w:rsidR="00931BAB">
        <w:rPr>
          <w:rFonts w:hint="eastAsia"/>
        </w:rPr>
        <w:t>の</w:t>
      </w:r>
      <w:r w:rsidR="001C4FDB" w:rsidRPr="001C4FDB">
        <w:t>どこに焦点を当て授業をするのかを</w:t>
      </w:r>
      <w:r w:rsidR="001C4FDB">
        <w:rPr>
          <w:rFonts w:hint="eastAsia"/>
        </w:rPr>
        <w:t>表したものです。</w:t>
      </w:r>
      <w:r w:rsidR="006C21F6" w:rsidRPr="006C21F6">
        <w:t xml:space="preserve"> </w:t>
      </w:r>
    </w:p>
    <w:p w:rsidR="001B7FE5" w:rsidRPr="00931BAB" w:rsidRDefault="001B7FE5" w:rsidP="00931BAB">
      <w:pPr>
        <w:ind w:leftChars="405" w:left="3968" w:rightChars="404" w:right="848" w:hanging="3118"/>
        <w:rPr>
          <w:szCs w:val="21"/>
        </w:rPr>
      </w:pPr>
      <w:r>
        <w:rPr>
          <w:rFonts w:hint="eastAsia"/>
        </w:rPr>
        <w:t>・</w:t>
      </w:r>
      <w:r w:rsidR="00931BAB">
        <w:rPr>
          <w:rFonts w:hint="eastAsia"/>
        </w:rPr>
        <w:t>生徒に考えさせたいこと</w:t>
      </w:r>
      <w:r>
        <w:rPr>
          <w:rFonts w:hint="eastAsia"/>
        </w:rPr>
        <w:t>★</w:t>
      </w:r>
      <w:r w:rsidRPr="00CF22B8">
        <w:rPr>
          <w:szCs w:val="21"/>
        </w:rPr>
        <w:t>……</w:t>
      </w:r>
      <w:r w:rsidR="007E72E9">
        <w:rPr>
          <w:rFonts w:hint="eastAsia"/>
          <w:szCs w:val="21"/>
        </w:rPr>
        <w:t>ねらいに迫れるよう</w:t>
      </w:r>
      <w:r w:rsidR="00931BAB">
        <w:rPr>
          <w:rFonts w:hint="eastAsia"/>
          <w:szCs w:val="21"/>
        </w:rPr>
        <w:t>焦点を絞って</w:t>
      </w:r>
      <w:r w:rsidR="007E72E9">
        <w:rPr>
          <w:rFonts w:hint="eastAsia"/>
          <w:szCs w:val="21"/>
        </w:rPr>
        <w:t>一言で表</w:t>
      </w:r>
      <w:r w:rsidR="007E72E9" w:rsidRPr="00931BAB">
        <w:rPr>
          <w:rFonts w:hint="eastAsia"/>
          <w:szCs w:val="21"/>
        </w:rPr>
        <w:t>しています。</w:t>
      </w:r>
    </w:p>
    <w:p w:rsidR="003731F0" w:rsidRDefault="001C4FDB" w:rsidP="00931BAB">
      <w:pPr>
        <w:ind w:leftChars="337" w:left="708" w:rightChars="404" w:right="848" w:firstLine="143"/>
        <w:rPr>
          <w:szCs w:val="21"/>
        </w:rPr>
      </w:pPr>
      <w:r w:rsidRPr="00931BAB">
        <w:rPr>
          <w:rFonts w:hint="eastAsia"/>
          <w:szCs w:val="21"/>
        </w:rPr>
        <w:t>・</w:t>
      </w:r>
      <w:r w:rsidR="006C21F6" w:rsidRPr="00931BAB">
        <w:rPr>
          <w:szCs w:val="21"/>
        </w:rPr>
        <w:t>主な発問…………</w:t>
      </w:r>
      <w:r w:rsidR="00CF22B8" w:rsidRPr="00931BAB">
        <w:rPr>
          <w:szCs w:val="21"/>
        </w:rPr>
        <w:t>…</w:t>
      </w:r>
      <w:r w:rsidR="006C21F6" w:rsidRPr="00931BAB">
        <w:rPr>
          <w:szCs w:val="21"/>
        </w:rPr>
        <w:t>授業</w:t>
      </w:r>
      <w:r w:rsidR="007E72E9" w:rsidRPr="00931BAB">
        <w:rPr>
          <w:rFonts w:hint="eastAsia"/>
          <w:szCs w:val="21"/>
        </w:rPr>
        <w:t>展開</w:t>
      </w:r>
      <w:r w:rsidR="006C21F6" w:rsidRPr="00931BAB">
        <w:rPr>
          <w:szCs w:val="21"/>
        </w:rPr>
        <w:t xml:space="preserve">における発問を記しています。 </w:t>
      </w:r>
    </w:p>
    <w:p w:rsidR="001C4FDB" w:rsidRPr="00931BAB" w:rsidRDefault="003731F0" w:rsidP="003731F0">
      <w:pPr>
        <w:ind w:leftChars="1418" w:left="4395" w:rightChars="404" w:right="848" w:hanging="1417"/>
        <w:rPr>
          <w:szCs w:val="21"/>
        </w:rPr>
      </w:pPr>
      <w:r>
        <w:rPr>
          <w:rFonts w:hint="eastAsia"/>
          <w:szCs w:val="21"/>
        </w:rPr>
        <w:t>◎中心発問、○基本発問</w:t>
      </w:r>
    </w:p>
    <w:p w:rsidR="007E72E9" w:rsidRPr="00931BAB" w:rsidRDefault="007E72E9" w:rsidP="001F247D">
      <w:pPr>
        <w:ind w:leftChars="405" w:left="2834" w:rightChars="404" w:right="848" w:hanging="1984"/>
        <w:rPr>
          <w:rFonts w:asciiTheme="minorEastAsia" w:hAnsiTheme="minorEastAsia"/>
          <w:szCs w:val="21"/>
        </w:rPr>
      </w:pPr>
      <w:r w:rsidRPr="00931BAB">
        <w:rPr>
          <w:rFonts w:hint="eastAsia"/>
          <w:szCs w:val="21"/>
        </w:rPr>
        <w:t>・生徒</w:t>
      </w:r>
      <w:r w:rsidR="006C21F6" w:rsidRPr="00931BAB">
        <w:rPr>
          <w:szCs w:val="21"/>
        </w:rPr>
        <w:t>評価の</w:t>
      </w:r>
      <w:r w:rsidRPr="00931BAB">
        <w:rPr>
          <w:rFonts w:hint="eastAsia"/>
          <w:szCs w:val="21"/>
        </w:rPr>
        <w:t>視点</w:t>
      </w:r>
      <w:r w:rsidR="00CF22B8" w:rsidRPr="00931BAB">
        <w:rPr>
          <w:szCs w:val="21"/>
        </w:rPr>
        <w:t>…</w:t>
      </w:r>
      <w:r w:rsidR="00931BAB" w:rsidRPr="00931BAB">
        <w:rPr>
          <w:szCs w:val="21"/>
        </w:rPr>
        <w:t>…</w:t>
      </w:r>
      <w:r w:rsidRPr="00931BAB">
        <w:rPr>
          <w:rFonts w:hint="eastAsia"/>
          <w:szCs w:val="21"/>
        </w:rPr>
        <w:t>本時において、生徒がどの程度ねらいに迫ることができたのかを観察するポイントを示していま</w:t>
      </w:r>
      <w:r w:rsidRPr="00931BAB">
        <w:rPr>
          <w:rFonts w:asciiTheme="minorEastAsia" w:hAnsiTheme="minorEastAsia" w:hint="eastAsia"/>
          <w:szCs w:val="21"/>
        </w:rPr>
        <w:t>す。</w:t>
      </w:r>
      <w:r w:rsidR="006C21F6" w:rsidRPr="00931BAB">
        <w:rPr>
          <w:rFonts w:asciiTheme="minorEastAsia" w:hAnsiTheme="minorEastAsia"/>
          <w:szCs w:val="21"/>
        </w:rPr>
        <w:t xml:space="preserve"> </w:t>
      </w:r>
    </w:p>
    <w:p w:rsidR="00CF22B8" w:rsidRDefault="007E72E9" w:rsidP="00931BAB">
      <w:pPr>
        <w:snapToGrid w:val="0"/>
        <w:ind w:leftChars="337" w:left="708" w:rightChars="404" w:right="848" w:firstLineChars="68" w:firstLine="143"/>
      </w:pPr>
      <w:r w:rsidRPr="00CF22B8">
        <w:rPr>
          <w:rFonts w:asciiTheme="minorEastAsia" w:hAnsiTheme="minorEastAsia" w:hint="eastAsia"/>
          <w:szCs w:val="21"/>
        </w:rPr>
        <w:t>・</w:t>
      </w:r>
      <w:r w:rsidR="00CF22B8" w:rsidRPr="00CF22B8">
        <w:rPr>
          <w:rFonts w:asciiTheme="minorEastAsia" w:hAnsiTheme="minorEastAsia" w:hint="eastAsia"/>
          <w:szCs w:val="21"/>
        </w:rPr>
        <w:t>各教科や領域、現代的な課題との関連</w:t>
      </w:r>
      <w:r w:rsidR="00931BAB" w:rsidRPr="00931BAB">
        <w:rPr>
          <w:szCs w:val="21"/>
        </w:rPr>
        <w:t>……</w:t>
      </w:r>
      <w:r w:rsidR="00CF22B8">
        <w:rPr>
          <w:rFonts w:hint="eastAsia"/>
        </w:rPr>
        <w:t>本時との関連を示しています。</w:t>
      </w:r>
    </w:p>
    <w:p w:rsidR="009A74B1" w:rsidRPr="00CF22B8" w:rsidRDefault="00CF22B8" w:rsidP="00F045F8">
      <w:pPr>
        <w:snapToGrid w:val="0"/>
        <w:ind w:leftChars="367" w:left="3257" w:rightChars="404" w:right="848" w:hangingChars="1184" w:hanging="2486"/>
        <w:rPr>
          <w:rFonts w:asciiTheme="minorEastAsia" w:hAnsiTheme="minorEastAsia"/>
          <w:b/>
          <w:szCs w:val="21"/>
        </w:rPr>
      </w:pPr>
      <w:r w:rsidRPr="00CF22B8">
        <w:rPr>
          <w:rFonts w:asciiTheme="minorEastAsia" w:hAnsiTheme="minorEastAsia" w:hint="eastAsia"/>
          <w:szCs w:val="21"/>
        </w:rPr>
        <w:t>・</w:t>
      </w:r>
      <w:r w:rsidRPr="00CF22B8">
        <w:rPr>
          <w:rFonts w:asciiTheme="minorEastAsia" w:hAnsiTheme="minorEastAsia" w:cs="ＭＳ Ｐゴシック" w:hint="eastAsia"/>
          <w:szCs w:val="21"/>
        </w:rPr>
        <w:t>【D】</w:t>
      </w:r>
      <w:r w:rsidRPr="00CF22B8">
        <w:rPr>
          <w:rFonts w:asciiTheme="minorEastAsia" w:hAnsiTheme="minorEastAsia" w:hint="eastAsia"/>
          <w:szCs w:val="21"/>
        </w:rPr>
        <w:t>デジタル資料</w:t>
      </w:r>
      <w:r w:rsidR="006C21F6" w:rsidRPr="00CF22B8">
        <w:rPr>
          <w:rFonts w:asciiTheme="minorEastAsia" w:hAnsiTheme="minorEastAsia"/>
          <w:sz w:val="16"/>
          <w:szCs w:val="16"/>
        </w:rPr>
        <w:t>………</w:t>
      </w:r>
      <w:r w:rsidR="001F247D">
        <w:rPr>
          <w:rFonts w:asciiTheme="minorEastAsia" w:hAnsiTheme="minorEastAsia" w:hint="eastAsia"/>
          <w:szCs w:val="21"/>
        </w:rPr>
        <w:t>教科書の二次元コード</w:t>
      </w:r>
      <w:r w:rsidR="00F045F8">
        <w:rPr>
          <w:rFonts w:asciiTheme="minorEastAsia" w:hAnsiTheme="minorEastAsia" w:hint="eastAsia"/>
          <w:szCs w:val="21"/>
        </w:rPr>
        <w:t>やデジタル教科書</w:t>
      </w:r>
      <w:r w:rsidR="001F247D">
        <w:rPr>
          <w:rFonts w:asciiTheme="minorEastAsia" w:hAnsiTheme="minorEastAsia" w:hint="eastAsia"/>
          <w:szCs w:val="21"/>
        </w:rPr>
        <w:t>から</w:t>
      </w:r>
      <w:r>
        <w:rPr>
          <w:rFonts w:asciiTheme="minorEastAsia" w:hAnsiTheme="minorEastAsia" w:hint="eastAsia"/>
          <w:szCs w:val="21"/>
        </w:rPr>
        <w:t>資料や動画などが</w:t>
      </w:r>
      <w:r w:rsidR="003731F0">
        <w:rPr>
          <w:rFonts w:asciiTheme="minorEastAsia" w:hAnsiTheme="minorEastAsia" w:hint="eastAsia"/>
          <w:szCs w:val="21"/>
        </w:rPr>
        <w:t>観られる</w:t>
      </w:r>
      <w:r>
        <w:rPr>
          <w:rFonts w:asciiTheme="minorEastAsia" w:hAnsiTheme="minorEastAsia" w:hint="eastAsia"/>
          <w:szCs w:val="21"/>
        </w:rPr>
        <w:t>ことを示しています。</w:t>
      </w:r>
    </w:p>
    <w:p w:rsidR="009A74B1" w:rsidRDefault="009A74B1" w:rsidP="00931BAB">
      <w:pPr>
        <w:ind w:leftChars="337" w:left="708" w:rightChars="269" w:right="565" w:firstLine="143"/>
      </w:pPr>
    </w:p>
    <w:p w:rsidR="009A74B1" w:rsidRDefault="009A74B1" w:rsidP="00931BAB">
      <w:pPr>
        <w:ind w:leftChars="337" w:left="708" w:rightChars="269" w:right="565" w:firstLineChars="100" w:firstLine="210"/>
      </w:pPr>
    </w:p>
    <w:p w:rsidR="009A74B1" w:rsidRDefault="009A74B1" w:rsidP="001C4FDB">
      <w:pPr>
        <w:ind w:rightChars="269" w:right="565" w:firstLineChars="100" w:firstLine="210"/>
      </w:pPr>
    </w:p>
    <w:sectPr w:rsidR="009A7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CA6" w:rsidRDefault="00E30CA6" w:rsidP="004C3BAD">
      <w:r>
        <w:separator/>
      </w:r>
    </w:p>
  </w:endnote>
  <w:endnote w:type="continuationSeparator" w:id="0">
    <w:p w:rsidR="00E30CA6" w:rsidRDefault="00E30CA6" w:rsidP="004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CA6" w:rsidRDefault="00E30CA6" w:rsidP="004C3BAD">
      <w:r>
        <w:separator/>
      </w:r>
    </w:p>
  </w:footnote>
  <w:footnote w:type="continuationSeparator" w:id="0">
    <w:p w:rsidR="00E30CA6" w:rsidRDefault="00E30CA6" w:rsidP="004C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116A85"/>
    <w:rsid w:val="001B7FE5"/>
    <w:rsid w:val="001C4FDB"/>
    <w:rsid w:val="001F247D"/>
    <w:rsid w:val="00203A4F"/>
    <w:rsid w:val="0026342A"/>
    <w:rsid w:val="00311BDD"/>
    <w:rsid w:val="00330EF5"/>
    <w:rsid w:val="003731F0"/>
    <w:rsid w:val="0040385C"/>
    <w:rsid w:val="004C3BAD"/>
    <w:rsid w:val="00533BEA"/>
    <w:rsid w:val="005C6FBF"/>
    <w:rsid w:val="00606924"/>
    <w:rsid w:val="00624F2C"/>
    <w:rsid w:val="006C21F6"/>
    <w:rsid w:val="007E72E9"/>
    <w:rsid w:val="0086137D"/>
    <w:rsid w:val="00931BAB"/>
    <w:rsid w:val="009A74B1"/>
    <w:rsid w:val="009B7051"/>
    <w:rsid w:val="00AB189C"/>
    <w:rsid w:val="00CA7757"/>
    <w:rsid w:val="00CE6A66"/>
    <w:rsid w:val="00CF22B8"/>
    <w:rsid w:val="00D87268"/>
    <w:rsid w:val="00E30CA6"/>
    <w:rsid w:val="00E61CC4"/>
    <w:rsid w:val="00F045F8"/>
    <w:rsid w:val="00FF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FA918"/>
  <w15:chartTrackingRefBased/>
  <w15:docId w15:val="{2BC94AD3-D08D-490C-BC85-193FA632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BAD"/>
    <w:pPr>
      <w:tabs>
        <w:tab w:val="center" w:pos="4252"/>
        <w:tab w:val="right" w:pos="8504"/>
      </w:tabs>
      <w:snapToGrid w:val="0"/>
    </w:pPr>
  </w:style>
  <w:style w:type="character" w:customStyle="1" w:styleId="a4">
    <w:name w:val="ヘッダー (文字)"/>
    <w:basedOn w:val="a0"/>
    <w:link w:val="a3"/>
    <w:uiPriority w:val="99"/>
    <w:rsid w:val="004C3BAD"/>
  </w:style>
  <w:style w:type="paragraph" w:styleId="a5">
    <w:name w:val="footer"/>
    <w:basedOn w:val="a"/>
    <w:link w:val="a6"/>
    <w:uiPriority w:val="99"/>
    <w:unhideWhenUsed/>
    <w:rsid w:val="004C3BAD"/>
    <w:pPr>
      <w:tabs>
        <w:tab w:val="center" w:pos="4252"/>
        <w:tab w:val="right" w:pos="8504"/>
      </w:tabs>
      <w:snapToGrid w:val="0"/>
    </w:pPr>
  </w:style>
  <w:style w:type="character" w:customStyle="1" w:styleId="a6">
    <w:name w:val="フッター (文字)"/>
    <w:basedOn w:val="a0"/>
    <w:link w:val="a5"/>
    <w:uiPriority w:val="99"/>
    <w:rsid w:val="004C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細井ミエ</dc:creator>
  <cp:keywords/>
  <dc:description/>
  <cp:lastModifiedBy>細井ミエ</cp:lastModifiedBy>
  <cp:revision>9</cp:revision>
  <cp:lastPrinted>2024-09-02T03:29:00Z</cp:lastPrinted>
  <dcterms:created xsi:type="dcterms:W3CDTF">2024-08-21T00:27:00Z</dcterms:created>
  <dcterms:modified xsi:type="dcterms:W3CDTF">2024-09-02T05:47:00Z</dcterms:modified>
</cp:coreProperties>
</file>